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B460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bookmarkStart w:id="0" w:name="_Hlk113009840"/>
      <w:r w:rsidRPr="00AD562A">
        <w:t>accident vasculaire cérébral invalidant ;</w:t>
      </w:r>
    </w:p>
    <w:p w14:paraId="73A2CBCC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insuffisances médullaires et autres cytopénies chroniques ;</w:t>
      </w:r>
    </w:p>
    <w:p w14:paraId="477133F1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artériopathies chroniques avec manifestations ischémiques ;</w:t>
      </w:r>
    </w:p>
    <w:p w14:paraId="5CE26E81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bilharziose compliquée ;</w:t>
      </w:r>
    </w:p>
    <w:p w14:paraId="75B62F6A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insuffisance cardiaque grave, troubles du rythme graves, cardiopathies valvulaires graves, cardiopathies congénitales graves ;</w:t>
      </w:r>
    </w:p>
    <w:p w14:paraId="6945EC91" w14:textId="7EB7548A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maladies chroniques actives du foie</w:t>
      </w:r>
      <w:r w:rsidR="00BC115F">
        <w:t xml:space="preserve"> (hépatite B ou C)</w:t>
      </w:r>
      <w:r w:rsidRPr="00AD562A">
        <w:t xml:space="preserve"> et cirrhoses ;</w:t>
      </w:r>
    </w:p>
    <w:p w14:paraId="3A9168A4" w14:textId="5113E86F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déficit immunitaire primitif grave nécessitant un traitement prolongé, infection par le virus de l'</w:t>
      </w:r>
      <w:r w:rsidR="00B858D8" w:rsidRPr="00AD562A">
        <w:t>immuno-</w:t>
      </w:r>
      <w:r w:rsidRPr="00AD562A">
        <w:t>déficience humaine (VIH) ;</w:t>
      </w:r>
    </w:p>
    <w:p w14:paraId="77683FFB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diabète de type 1 et diabète de type 2 ;</w:t>
      </w:r>
    </w:p>
    <w:p w14:paraId="756B694E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formes graves des affections neurologiques et musculaires (dont myopathie), épilepsie grave ;</w:t>
      </w:r>
    </w:p>
    <w:p w14:paraId="34B3CF8C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hémoglobinopathies, hémolyses, chroniques constitutionnelles et acquises sévères ;</w:t>
      </w:r>
    </w:p>
    <w:p w14:paraId="712DEB39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hémophilies et affections constitutionnelles de l'hémostase graves ;</w:t>
      </w:r>
    </w:p>
    <w:p w14:paraId="09A5E0D9" w14:textId="176516E0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maladie coronaire</w:t>
      </w:r>
      <w:r w:rsidR="00BC115F">
        <w:t> : infarctus du myocarde</w:t>
      </w:r>
      <w:r w:rsidRPr="00AD562A">
        <w:t> ;</w:t>
      </w:r>
    </w:p>
    <w:p w14:paraId="3BAF911E" w14:textId="02B20F05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insuffisance respiratoire chronique grave</w:t>
      </w:r>
      <w:r w:rsidR="00BC115F">
        <w:t> : BPCO, asthme grave ;</w:t>
      </w:r>
    </w:p>
    <w:p w14:paraId="595EECC9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maladie d'Alzheimer et autres démences (1)(2) ;</w:t>
      </w:r>
    </w:p>
    <w:p w14:paraId="29AEC066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maladie de Parkinson (2) ;</w:t>
      </w:r>
    </w:p>
    <w:p w14:paraId="3017D9AE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maladies métaboliques héréditaires nécessitant un traitement prolongé spécialisé ;</w:t>
      </w:r>
    </w:p>
    <w:p w14:paraId="1E06ACC6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mucoviscidose ;</w:t>
      </w:r>
    </w:p>
    <w:p w14:paraId="011EE321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néphropathie chronique grave et syndrome néphrotique primitif ;</w:t>
      </w:r>
    </w:p>
    <w:p w14:paraId="18FC0923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paraplégie ;</w:t>
      </w:r>
    </w:p>
    <w:p w14:paraId="17F73446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vascularites, lupus érythémateux systémique, sclérodermie systémique ;</w:t>
      </w:r>
    </w:p>
    <w:p w14:paraId="019D1506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polyarthrite rhumatoïde évolutive ;</w:t>
      </w:r>
    </w:p>
    <w:p w14:paraId="023C29C3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affections psychiatriques de longue durée ;</w:t>
      </w:r>
    </w:p>
    <w:p w14:paraId="591ADDDE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rectocolite hémorragique et maladie de Crohn évolutives ;</w:t>
      </w:r>
    </w:p>
    <w:p w14:paraId="76BE67EF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sclérose en plaques (2) ;</w:t>
      </w:r>
    </w:p>
    <w:p w14:paraId="01A6204F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scoliose idiopathique structurale évolutive (dont l'angle est égal ou supérieur à 25 degrés) jusqu'à maturation rachidienne ;</w:t>
      </w:r>
    </w:p>
    <w:p w14:paraId="5D321A24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spondylarthrite grave ;</w:t>
      </w:r>
    </w:p>
    <w:p w14:paraId="6621ADB2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suites de transplantation d'organe ;</w:t>
      </w:r>
    </w:p>
    <w:p w14:paraId="35116A12" w14:textId="77777777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tuberculose active, lèpre ;</w:t>
      </w:r>
    </w:p>
    <w:p w14:paraId="781EF74C" w14:textId="75CDCB79" w:rsidR="00AD562A" w:rsidRPr="00AD562A" w:rsidRDefault="00AD562A" w:rsidP="00B858D8">
      <w:pPr>
        <w:numPr>
          <w:ilvl w:val="0"/>
          <w:numId w:val="1"/>
        </w:numPr>
        <w:spacing w:line="240" w:lineRule="auto"/>
      </w:pPr>
      <w:r w:rsidRPr="00AD562A">
        <w:t>tumeur maligne, affection maligne du tissu lymphatique ou hématopoïétique</w:t>
      </w:r>
      <w:r w:rsidR="00E16447">
        <w:t xml:space="preserve"> dont : cancers colorectal, de la peau, de la prostate, de la thyroïde, de la vessie, des voies aéro-digestives supérieures, du col de l’utérus, du poumon, du sein, lymphome.</w:t>
      </w:r>
    </w:p>
    <w:bookmarkEnd w:id="0"/>
    <w:p w14:paraId="3E498914" w14:textId="77777777" w:rsidR="001E4721" w:rsidRDefault="001E4721" w:rsidP="00B858D8">
      <w:pPr>
        <w:spacing w:line="240" w:lineRule="auto"/>
      </w:pPr>
    </w:p>
    <w:sectPr w:rsidR="001E4721" w:rsidSect="00B858D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CDE"/>
    <w:multiLevelType w:val="multilevel"/>
    <w:tmpl w:val="36DC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68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F"/>
    <w:rsid w:val="001C34EF"/>
    <w:rsid w:val="001E4721"/>
    <w:rsid w:val="00A966CD"/>
    <w:rsid w:val="00AD562A"/>
    <w:rsid w:val="00B858D8"/>
    <w:rsid w:val="00BC115F"/>
    <w:rsid w:val="00CF3B13"/>
    <w:rsid w:val="00E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404B"/>
  <w15:chartTrackingRefBased/>
  <w15:docId w15:val="{BC08DEC9-EFCF-49BD-B109-91A9F88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LAPOTRE</dc:creator>
  <cp:keywords/>
  <dc:description/>
  <cp:lastModifiedBy>Caroline LAPOTRE</cp:lastModifiedBy>
  <cp:revision>4</cp:revision>
  <dcterms:created xsi:type="dcterms:W3CDTF">2022-07-12T13:29:00Z</dcterms:created>
  <dcterms:modified xsi:type="dcterms:W3CDTF">2022-09-02T10:14:00Z</dcterms:modified>
</cp:coreProperties>
</file>